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2025年度山东省网信领域软科学项目指南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自媒体造谣引流“网络水军”犯罪研究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人工智能舆论风险视角下的舆情应对与网络舆论引导发展新变化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市场监管AI智能体安全治理标准框架及场景映射研究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生成式AI技术滥用风险的多维治理模式研究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数字经济的数据安全治理分析与政策优化研究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AI驱动的高校教育管理非结构化数据治理优化策略——</w:t>
      </w:r>
      <w:r>
        <w:rPr>
          <w:rFonts w:hint="eastAsia" w:ascii="仿宋_GB2312" w:hAnsi="仿宋_GB2312" w:eastAsia="仿宋_GB2312" w:cs="仿宋_GB2312"/>
          <w:sz w:val="32"/>
          <w:szCs w:val="32"/>
        </w:rPr>
        <w:t>隐私保护与价值挖掘平衡路径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数据跨境流动安全流量监测技术和应用研究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重要数据年度风险评估报告核查体系建设及管理对策研究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省级移动互联网APP个人信息保护自动化检测能力研究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关于推动基层探索网评引导新模式的实践与思考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非公互联网企业党建的形势与政策分析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区块链赋能航运贸易数字化技术体系研究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以新质生产力赋能山东省数字乡村高质量发展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IPv6流量监测技术体系研究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山东省数据全流程数字化管理的思路与对策研究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大流量冲击下的“网红城市”网络生态治理研究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</w:rPr>
        <w:t>网上思想道德教育分众化、精准化实施机制研究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人工智能赋能网络安全保障体系建设和推进路径研究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山东省网络安全人才库构建与分类评价体系创新研究</w:t>
      </w:r>
    </w:p>
    <w:sectPr>
      <w:pgSz w:w="11906" w:h="16838"/>
      <w:pgMar w:top="1327" w:right="1800" w:bottom="132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BB3BCB"/>
    <w:rsid w:val="7DFD9BD5"/>
    <w:rsid w:val="7FFEF6B7"/>
    <w:rsid w:val="8DFD3CC4"/>
    <w:rsid w:val="BFFF9F43"/>
    <w:rsid w:val="CF7EC8D2"/>
    <w:rsid w:val="EF5D444D"/>
    <w:rsid w:val="EFFB1C33"/>
    <w:rsid w:val="F5EF843C"/>
    <w:rsid w:val="FEBB3BCB"/>
    <w:rsid w:val="FFBE9E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13.6666666666667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2024-05-11T23:48:00Z</dcterms:created>
  <dc:creator>user</dc:creator>
  <cp:lastModifiedBy>user</cp:lastModifiedBy>
  <cp:lastPrinted>2024-05-11T23:48:59Z</cp:lastPrinted>
  <dcterms:modified xsi:type="dcterms:W3CDTF">2025-06-16T17:51:35Z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